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FF0000"/>
          <w:sz w:val="24"/>
          <w:szCs w:val="24"/>
        </w:rPr>
      </w:pPr>
      <w:r>
        <w:rPr>
          <w:rFonts w:hint="eastAsia"/>
          <w:b/>
          <w:bCs/>
          <w:color w:val="FF0000"/>
          <w:sz w:val="24"/>
          <w:szCs w:val="24"/>
        </w:rPr>
        <w:drawing>
          <wp:anchor distT="0" distB="0" distL="114300" distR="114300" simplePos="0" relativeHeight="251658240" behindDoc="0" locked="0" layoutInCell="1" allowOverlap="1">
            <wp:simplePos x="0" y="0"/>
            <wp:positionH relativeFrom="page">
              <wp:posOffset>10845800</wp:posOffset>
            </wp:positionH>
            <wp:positionV relativeFrom="topMargin">
              <wp:posOffset>11430000</wp:posOffset>
            </wp:positionV>
            <wp:extent cx="317500" cy="381000"/>
            <wp:effectExtent l="0" t="0" r="6350" b="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5"/>
                    <a:stretch>
                      <a:fillRect/>
                    </a:stretch>
                  </pic:blipFill>
                  <pic:spPr>
                    <a:xfrm>
                      <a:off x="0" y="0"/>
                      <a:ext cx="317500" cy="381000"/>
                    </a:xfrm>
                    <a:prstGeom prst="rect">
                      <a:avLst/>
                    </a:prstGeom>
                  </pic:spPr>
                </pic:pic>
              </a:graphicData>
            </a:graphic>
          </wp:anchor>
        </w:drawing>
      </w:r>
      <w:r>
        <w:rPr>
          <w:rFonts w:hint="eastAsia"/>
          <w:b/>
          <w:bCs/>
          <w:color w:val="FF0000"/>
          <w:sz w:val="24"/>
          <w:szCs w:val="24"/>
        </w:rPr>
        <w:t>易混易错</w:t>
      </w:r>
    </w:p>
    <w:p>
      <w:pPr>
        <w:spacing w:line="360" w:lineRule="auto"/>
        <w:jc w:val="center"/>
        <w:rPr>
          <w:b/>
          <w:bCs/>
          <w:color w:val="FF0000"/>
          <w:sz w:val="32"/>
          <w:szCs w:val="32"/>
        </w:rPr>
      </w:pPr>
      <w:r>
        <w:rPr>
          <w:rFonts w:hint="eastAsia"/>
          <w:b/>
          <w:bCs/>
          <w:color w:val="FF0000"/>
          <w:sz w:val="32"/>
          <w:szCs w:val="32"/>
        </w:rPr>
        <w:t>经济生活之二</w:t>
      </w:r>
    </w:p>
    <w:p>
      <w:pPr>
        <w:spacing w:line="360" w:lineRule="auto"/>
        <w:jc w:val="center"/>
        <w:rPr>
          <w:b/>
          <w:bCs/>
          <w:color w:val="FF0000"/>
          <w:sz w:val="32"/>
          <w:szCs w:val="32"/>
        </w:rPr>
      </w:pPr>
      <w:r>
        <w:rPr>
          <w:rFonts w:hint="eastAsia"/>
          <w:b/>
          <w:bCs/>
          <w:color w:val="FF0000"/>
          <w:sz w:val="32"/>
          <w:szCs w:val="32"/>
        </w:rPr>
        <w:t>（51-100）</w:t>
      </w:r>
    </w:p>
    <w:p>
      <w:pPr>
        <w:spacing w:line="360" w:lineRule="auto"/>
        <w:jc w:val="center"/>
        <w:rPr>
          <w:b/>
          <w:bCs/>
          <w:color w:val="FF0000"/>
          <w:sz w:val="30"/>
          <w:szCs w:val="30"/>
        </w:rPr>
      </w:pPr>
      <w:r>
        <w:rPr>
          <w:b/>
          <w:bCs/>
          <w:color w:val="FF0000"/>
          <w:sz w:val="30"/>
          <w:szCs w:val="30"/>
        </w:rPr>
        <w:t>---- 教师版 ----</w:t>
      </w:r>
      <w:bookmarkStart w:id="0" w:name="_GoBack"/>
      <w:bookmarkEnd w:id="0"/>
    </w:p>
    <w:tbl>
      <w:tblPr>
        <w:tblStyle w:val="6"/>
        <w:tblW w:w="9570" w:type="dxa"/>
        <w:tblInd w:w="93" w:type="dxa"/>
        <w:tblLayout w:type="autofit"/>
        <w:tblCellMar>
          <w:top w:w="0" w:type="dxa"/>
          <w:left w:w="108" w:type="dxa"/>
          <w:bottom w:w="0" w:type="dxa"/>
          <w:right w:w="108" w:type="dxa"/>
        </w:tblCellMar>
      </w:tblPr>
      <w:tblGrid>
        <w:gridCol w:w="608"/>
        <w:gridCol w:w="4481"/>
        <w:gridCol w:w="4481"/>
      </w:tblGrid>
      <w:tr>
        <w:tblPrEx>
          <w:tblCellMar>
            <w:top w:w="0" w:type="dxa"/>
            <w:left w:w="108" w:type="dxa"/>
            <w:bottom w:w="0" w:type="dxa"/>
            <w:right w:w="108" w:type="dxa"/>
          </w:tblCellMar>
        </w:tblPrEx>
        <w:trPr>
          <w:trHeight w:val="310" w:hRule="atLeast"/>
        </w:trPr>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序号</w:t>
            </w:r>
          </w:p>
        </w:tc>
        <w:tc>
          <w:tcPr>
            <w:tcW w:w="448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易混易错知识</w:t>
            </w:r>
          </w:p>
        </w:tc>
        <w:tc>
          <w:tcPr>
            <w:tcW w:w="448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判断及改错</w:t>
            </w:r>
          </w:p>
        </w:tc>
      </w:tr>
      <w:tr>
        <w:tblPrEx>
          <w:tblCellMar>
            <w:top w:w="0" w:type="dxa"/>
            <w:left w:w="108" w:type="dxa"/>
            <w:bottom w:w="0" w:type="dxa"/>
            <w:right w:w="108" w:type="dxa"/>
          </w:tblCellMar>
        </w:tblPrEx>
        <w:trPr>
          <w:trHeight w:val="620"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51</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有限责任公司和股份有限公司的主要区别在于股东的多少</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主要区别在于是否可以公开向社会募股集资，公司资本是否划分为等额股份</w:t>
            </w:r>
          </w:p>
        </w:tc>
      </w:tr>
      <w:tr>
        <w:tblPrEx>
          <w:tblCellMar>
            <w:top w:w="0" w:type="dxa"/>
            <w:left w:w="108" w:type="dxa"/>
            <w:bottom w:w="0" w:type="dxa"/>
            <w:right w:w="108" w:type="dxa"/>
          </w:tblCellMar>
        </w:tblPrEx>
        <w:trPr>
          <w:trHeight w:val="310"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52</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所有公司的股票都可以自由流通、转让</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只有上市公司的股票才可以自由流通、转让</w:t>
            </w:r>
          </w:p>
        </w:tc>
      </w:tr>
      <w:tr>
        <w:tblPrEx>
          <w:tblCellMar>
            <w:top w:w="0" w:type="dxa"/>
            <w:left w:w="108" w:type="dxa"/>
            <w:bottom w:w="0" w:type="dxa"/>
            <w:right w:w="108" w:type="dxa"/>
          </w:tblCellMar>
        </w:tblPrEx>
        <w:trPr>
          <w:trHeight w:val="620"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53</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公司的执行机构是股东大会及董事会</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公司的执行机构是总经理及其助手，公司的决策机构是股东大会及董事会，监事会是公司的监督机构</w:t>
            </w:r>
          </w:p>
        </w:tc>
      </w:tr>
      <w:tr>
        <w:tblPrEx>
          <w:tblCellMar>
            <w:top w:w="0" w:type="dxa"/>
            <w:left w:w="108" w:type="dxa"/>
            <w:bottom w:w="0" w:type="dxa"/>
            <w:right w:w="108" w:type="dxa"/>
          </w:tblCellMar>
        </w:tblPrEx>
        <w:trPr>
          <w:trHeight w:val="310"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54</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公司经营的目的就是营利</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公司经营的直接目的是营利，还应该承担相应的社会责任</w:t>
            </w:r>
          </w:p>
        </w:tc>
      </w:tr>
      <w:tr>
        <w:tblPrEx>
          <w:tblCellMar>
            <w:top w:w="0" w:type="dxa"/>
            <w:left w:w="108" w:type="dxa"/>
            <w:bottom w:w="0" w:type="dxa"/>
            <w:right w:w="108" w:type="dxa"/>
          </w:tblCellMar>
        </w:tblPrEx>
        <w:trPr>
          <w:trHeight w:val="620"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55</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维护权益的基础是自觉履行劳动者义务；维护劳动者合法权益的重要依据是依法签订劳动合同</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w:t>
            </w:r>
          </w:p>
        </w:tc>
      </w:tr>
      <w:tr>
        <w:tblPrEx>
          <w:tblCellMar>
            <w:top w:w="0" w:type="dxa"/>
            <w:left w:w="108" w:type="dxa"/>
            <w:bottom w:w="0" w:type="dxa"/>
            <w:right w:w="108" w:type="dxa"/>
          </w:tblCellMar>
        </w:tblPrEx>
        <w:trPr>
          <w:trHeight w:val="310"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56</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劳动者的权利和义务是相统一的，不可放弃的</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权利可以放弃</w:t>
            </w:r>
          </w:p>
        </w:tc>
      </w:tr>
      <w:tr>
        <w:tblPrEx>
          <w:tblCellMar>
            <w:top w:w="0" w:type="dxa"/>
            <w:left w:w="108" w:type="dxa"/>
            <w:bottom w:w="0" w:type="dxa"/>
            <w:right w:w="108" w:type="dxa"/>
          </w:tblCellMar>
        </w:tblPrEx>
        <w:trPr>
          <w:trHeight w:val="620"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57</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便捷的投资方式是储蓄存款，商业银行的基础业务是存款业务，主体业务是贷款业务，商业银行营利主要来源是贷款业务</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w:t>
            </w:r>
          </w:p>
        </w:tc>
      </w:tr>
      <w:tr>
        <w:tblPrEx>
          <w:tblCellMar>
            <w:top w:w="0" w:type="dxa"/>
            <w:left w:w="108" w:type="dxa"/>
            <w:bottom w:w="0" w:type="dxa"/>
            <w:right w:w="108" w:type="dxa"/>
          </w:tblCellMar>
        </w:tblPrEx>
        <w:trPr>
          <w:trHeight w:val="310"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58</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储蓄存款比较安全没有风险</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存在通货膨胀下存款贬值及定期存款提前支取而损失利息的风险</w:t>
            </w:r>
          </w:p>
        </w:tc>
      </w:tr>
      <w:tr>
        <w:tblPrEx>
          <w:tblCellMar>
            <w:top w:w="0" w:type="dxa"/>
            <w:left w:w="108" w:type="dxa"/>
            <w:bottom w:w="0" w:type="dxa"/>
            <w:right w:w="108" w:type="dxa"/>
          </w:tblCellMar>
        </w:tblPrEx>
        <w:trPr>
          <w:trHeight w:val="310"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59</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银行存款利率提高，储户的实际收益越多</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居民的实际收益取决于存款利率和物价涨幅的对比</w:t>
            </w:r>
          </w:p>
        </w:tc>
      </w:tr>
      <w:tr>
        <w:tblPrEx>
          <w:tblCellMar>
            <w:top w:w="0" w:type="dxa"/>
            <w:left w:w="108" w:type="dxa"/>
            <w:bottom w:w="0" w:type="dxa"/>
            <w:right w:w="108" w:type="dxa"/>
          </w:tblCellMar>
        </w:tblPrEx>
        <w:trPr>
          <w:trHeight w:val="310"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60</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债券和股票都是有价证券，都以定期收取利息为条件</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股票不是定期收取利息的</w:t>
            </w:r>
          </w:p>
        </w:tc>
      </w:tr>
      <w:tr>
        <w:tblPrEx>
          <w:tblCellMar>
            <w:top w:w="0" w:type="dxa"/>
            <w:left w:w="108" w:type="dxa"/>
            <w:bottom w:w="0" w:type="dxa"/>
            <w:right w:w="108" w:type="dxa"/>
          </w:tblCellMar>
        </w:tblPrEx>
        <w:trPr>
          <w:trHeight w:val="310"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61</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金融债券具有信用度高、代用率高、收益高和流通性强等特点</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政府债券</w:t>
            </w:r>
          </w:p>
        </w:tc>
      </w:tr>
      <w:tr>
        <w:tblPrEx>
          <w:tblCellMar>
            <w:top w:w="0" w:type="dxa"/>
            <w:left w:w="108" w:type="dxa"/>
            <w:bottom w:w="0" w:type="dxa"/>
            <w:right w:w="108" w:type="dxa"/>
          </w:tblCellMar>
        </w:tblPrEx>
        <w:trPr>
          <w:trHeight w:val="620"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62</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商业保险是避免风险的投资，可以分为社会保险和人身保险，任何公司都可以经营保险业务</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商业保险是规避风险的投资，可以分为财产保险和人身保险，只有依法设立的保险公司可以经营保险业务</w:t>
            </w:r>
          </w:p>
        </w:tc>
      </w:tr>
      <w:tr>
        <w:tblPrEx>
          <w:tblCellMar>
            <w:top w:w="0" w:type="dxa"/>
            <w:left w:w="108" w:type="dxa"/>
            <w:bottom w:w="0" w:type="dxa"/>
            <w:right w:w="108" w:type="dxa"/>
          </w:tblCellMar>
        </w:tblPrEx>
        <w:trPr>
          <w:trHeight w:val="620"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63</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通过购买社会保险，投保人把风险转移给保险人，使自己所承担的风险损失降到最少</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应该是购买商业保险</w:t>
            </w:r>
          </w:p>
        </w:tc>
      </w:tr>
      <w:tr>
        <w:tblPrEx>
          <w:tblCellMar>
            <w:top w:w="0" w:type="dxa"/>
            <w:left w:w="108" w:type="dxa"/>
            <w:bottom w:w="0" w:type="dxa"/>
            <w:right w:w="108" w:type="dxa"/>
          </w:tblCellMar>
        </w:tblPrEx>
        <w:trPr>
          <w:trHeight w:val="620"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64</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投资多元化就是指投资方式要多种多样，投资方式越多就越赚钱</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投资多元化就是指投资方式要多种多样，这有利于化解投资风险，对每种投资方式要一分为二，一般来说，风险与回报率成正比</w:t>
            </w:r>
          </w:p>
        </w:tc>
      </w:tr>
      <w:tr>
        <w:tblPrEx>
          <w:tblCellMar>
            <w:top w:w="0" w:type="dxa"/>
            <w:left w:w="108" w:type="dxa"/>
            <w:bottom w:w="0" w:type="dxa"/>
            <w:right w:w="108" w:type="dxa"/>
          </w:tblCellMar>
        </w:tblPrEx>
        <w:trPr>
          <w:trHeight w:val="929"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65</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决定我国现行分配制度的根本原因是生产力状况。按劳分配的前提是生产资料公有制，物质基础是生产力发展水平，直接原因是社会主义条件下人们劳动的性质和特点</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w:t>
            </w:r>
          </w:p>
        </w:tc>
      </w:tr>
      <w:tr>
        <w:tblPrEx>
          <w:tblCellMar>
            <w:top w:w="0" w:type="dxa"/>
            <w:left w:w="108" w:type="dxa"/>
            <w:bottom w:w="0" w:type="dxa"/>
            <w:right w:w="108" w:type="dxa"/>
          </w:tblCellMar>
        </w:tblPrEx>
        <w:trPr>
          <w:trHeight w:val="620"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66</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在社会主义制度下，个人消费品分配的基本原则是以按劳分配为主体，多种分配方式并存</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不能将分配原则等同于分配制度，个人消费品分配的基本原则是按劳分配</w:t>
            </w:r>
          </w:p>
        </w:tc>
      </w:tr>
      <w:tr>
        <w:tblPrEx>
          <w:tblCellMar>
            <w:top w:w="0" w:type="dxa"/>
            <w:left w:w="108" w:type="dxa"/>
            <w:bottom w:w="0" w:type="dxa"/>
            <w:right w:w="108" w:type="dxa"/>
          </w:tblCellMar>
        </w:tblPrEx>
        <w:trPr>
          <w:trHeight w:val="310"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67</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个体劳动者的分配方式属于按劳分配</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属于按个体劳动者的劳动成果分配</w:t>
            </w:r>
          </w:p>
        </w:tc>
      </w:tr>
      <w:tr>
        <w:trPr>
          <w:trHeight w:val="310"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68</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私营企业中的工人获得工资收入属于按劳动成果分配</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属于按劳动要素分配</w:t>
            </w:r>
          </w:p>
        </w:tc>
      </w:tr>
      <w:tr>
        <w:tblPrEx>
          <w:tblCellMar>
            <w:top w:w="0" w:type="dxa"/>
            <w:left w:w="108" w:type="dxa"/>
            <w:bottom w:w="0" w:type="dxa"/>
            <w:right w:w="108" w:type="dxa"/>
          </w:tblCellMar>
        </w:tblPrEx>
        <w:trPr>
          <w:trHeight w:val="310"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69</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按劳分配体现了公平；按生产要素分配体现了效率</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效率和公平是不可分割的</w:t>
            </w:r>
          </w:p>
        </w:tc>
      </w:tr>
      <w:tr>
        <w:tblPrEx>
          <w:tblCellMar>
            <w:top w:w="0" w:type="dxa"/>
            <w:left w:w="108" w:type="dxa"/>
            <w:bottom w:w="0" w:type="dxa"/>
            <w:right w:w="108" w:type="dxa"/>
          </w:tblCellMar>
        </w:tblPrEx>
        <w:trPr>
          <w:trHeight w:val="620"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70</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我国现阶段按劳分配与按生产要素分配都是社会主义性质的分配方式</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只有按劳分配是社会主义性质的分配方式，而按生产要素分配不属于社会主义性质的分配方式</w:t>
            </w:r>
          </w:p>
        </w:tc>
      </w:tr>
      <w:tr>
        <w:tblPrEx>
          <w:tblCellMar>
            <w:top w:w="0" w:type="dxa"/>
            <w:left w:w="108" w:type="dxa"/>
            <w:bottom w:w="0" w:type="dxa"/>
            <w:right w:w="108" w:type="dxa"/>
          </w:tblCellMar>
        </w:tblPrEx>
        <w:trPr>
          <w:trHeight w:val="620"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71</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坚持和完善按劳分配为主体，多种分配方式并存的分配制度。为实现社会公平，形成合理有序的收入分配格局提供了重要的制度保证</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w:t>
            </w:r>
          </w:p>
        </w:tc>
      </w:tr>
      <w:tr>
        <w:tblPrEx>
          <w:tblCellMar>
            <w:top w:w="0" w:type="dxa"/>
            <w:left w:w="108" w:type="dxa"/>
            <w:bottom w:w="0" w:type="dxa"/>
            <w:right w:w="108" w:type="dxa"/>
          </w:tblCellMar>
        </w:tblPrEx>
        <w:trPr>
          <w:trHeight w:val="1240"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72</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加强政府对收入分配的调节，保护合法收入、调节过高收入，取缔非法收入。通过强化税收调节，整顿分配秩序，把收入差距控制在一定范围之内，防止出现严重的两极分化，实现公平分配。是初次分配注重公平的重要举措</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不是初次分配而是再分配，见P61-62</w:t>
            </w:r>
          </w:p>
        </w:tc>
      </w:tr>
      <w:tr>
        <w:tblPrEx>
          <w:tblCellMar>
            <w:top w:w="0" w:type="dxa"/>
            <w:left w:w="108" w:type="dxa"/>
            <w:bottom w:w="0" w:type="dxa"/>
            <w:right w:w="108" w:type="dxa"/>
          </w:tblCellMar>
        </w:tblPrEx>
        <w:trPr>
          <w:trHeight w:val="620"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73</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初次分配注重效率，在分配注重公平</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初次分配和再分配都要处理好效率与公平的关系，既要提高效率，又要促进公平</w:t>
            </w:r>
          </w:p>
        </w:tc>
      </w:tr>
      <w:tr>
        <w:tblPrEx>
          <w:tblCellMar>
            <w:top w:w="0" w:type="dxa"/>
            <w:left w:w="108" w:type="dxa"/>
            <w:bottom w:w="0" w:type="dxa"/>
            <w:right w:w="108" w:type="dxa"/>
          </w:tblCellMar>
        </w:tblPrEx>
        <w:trPr>
          <w:trHeight w:val="310"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74</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公平就是消灭差别，有差别就不公平</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收入分配的公平主要表现为收入分配的相对平等。公平不等于平均</w:t>
            </w:r>
          </w:p>
        </w:tc>
      </w:tr>
      <w:tr>
        <w:tblPrEx>
          <w:tblCellMar>
            <w:top w:w="0" w:type="dxa"/>
            <w:left w:w="108" w:type="dxa"/>
            <w:bottom w:w="0" w:type="dxa"/>
            <w:right w:w="108" w:type="dxa"/>
          </w:tblCellMar>
        </w:tblPrEx>
        <w:trPr>
          <w:trHeight w:val="310" w:hRule="atLeast"/>
        </w:trPr>
        <w:tc>
          <w:tcPr>
            <w:tcW w:w="60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75</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要发挥财政的作用关键是增加国债发行量</w:t>
            </w:r>
          </w:p>
        </w:tc>
        <w:tc>
          <w:tcPr>
            <w:tcW w:w="4481"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关键是发展经济，调整分配政策，增加财政收入</w:t>
            </w:r>
          </w:p>
        </w:tc>
      </w:tr>
    </w:tbl>
    <w:p>
      <w:pPr>
        <w:spacing w:line="360" w:lineRule="auto"/>
        <w:ind w:firstLine="420" w:firstLineChars="200"/>
        <w:rPr>
          <w:szCs w:val="21"/>
        </w:rPr>
      </w:pPr>
      <w:r>
        <w:rPr>
          <w:rFonts w:hint="eastAsia"/>
          <w:szCs w:val="21"/>
        </w:rPr>
        <w:t>（更多资源请关注公众号【莫莫高中政治】）</w:t>
      </w:r>
    </w:p>
    <w:tbl>
      <w:tblPr>
        <w:tblStyle w:val="6"/>
        <w:tblW w:w="9505" w:type="dxa"/>
        <w:tblInd w:w="93" w:type="dxa"/>
        <w:tblLayout w:type="autofit"/>
        <w:tblCellMar>
          <w:top w:w="0" w:type="dxa"/>
          <w:left w:w="108" w:type="dxa"/>
          <w:bottom w:w="0" w:type="dxa"/>
          <w:right w:w="108" w:type="dxa"/>
        </w:tblCellMar>
      </w:tblPr>
      <w:tblGrid>
        <w:gridCol w:w="637"/>
        <w:gridCol w:w="4034"/>
        <w:gridCol w:w="4834"/>
      </w:tblGrid>
      <w:tr>
        <w:tblPrEx>
          <w:tblCellMar>
            <w:top w:w="0" w:type="dxa"/>
            <w:left w:w="108" w:type="dxa"/>
            <w:bottom w:w="0" w:type="dxa"/>
            <w:right w:w="108" w:type="dxa"/>
          </w:tblCellMar>
        </w:tblPrEx>
        <w:trPr>
          <w:trHeight w:val="252" w:hRule="atLeast"/>
        </w:trPr>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序号</w:t>
            </w:r>
          </w:p>
        </w:tc>
        <w:tc>
          <w:tcPr>
            <w:tcW w:w="403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易混易错知识</w:t>
            </w:r>
          </w:p>
        </w:tc>
        <w:tc>
          <w:tcPr>
            <w:tcW w:w="483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判断及改错</w:t>
            </w:r>
          </w:p>
        </w:tc>
      </w:tr>
      <w:tr>
        <w:tblPrEx>
          <w:tblCellMar>
            <w:top w:w="0" w:type="dxa"/>
            <w:left w:w="108" w:type="dxa"/>
            <w:bottom w:w="0" w:type="dxa"/>
            <w:right w:w="108" w:type="dxa"/>
          </w:tblCellMar>
        </w:tblPrEx>
        <w:trPr>
          <w:trHeight w:val="252"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76</w:t>
            </w:r>
          </w:p>
        </w:tc>
        <w:tc>
          <w:tcPr>
            <w:tcW w:w="40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国有企业上缴的利润收入是我国财政收入的最主要的形式</w:t>
            </w:r>
          </w:p>
        </w:tc>
        <w:tc>
          <w:tcPr>
            <w:tcW w:w="48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税收是主要形式</w:t>
            </w:r>
          </w:p>
        </w:tc>
      </w:tr>
      <w:tr>
        <w:tblPrEx>
          <w:tblCellMar>
            <w:top w:w="0" w:type="dxa"/>
            <w:left w:w="108" w:type="dxa"/>
            <w:bottom w:w="0" w:type="dxa"/>
            <w:right w:w="108" w:type="dxa"/>
          </w:tblCellMar>
        </w:tblPrEx>
        <w:trPr>
          <w:trHeight w:val="252"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77</w:t>
            </w:r>
          </w:p>
        </w:tc>
        <w:tc>
          <w:tcPr>
            <w:tcW w:w="40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财政赤字是指当年财政收入大于支出，出现差额的经济现象</w:t>
            </w:r>
          </w:p>
        </w:tc>
        <w:tc>
          <w:tcPr>
            <w:tcW w:w="48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是小于</w:t>
            </w:r>
          </w:p>
        </w:tc>
      </w:tr>
      <w:tr>
        <w:tblPrEx>
          <w:tblCellMar>
            <w:top w:w="0" w:type="dxa"/>
            <w:left w:w="108" w:type="dxa"/>
            <w:bottom w:w="0" w:type="dxa"/>
            <w:right w:w="108" w:type="dxa"/>
          </w:tblCellMar>
        </w:tblPrEx>
        <w:trPr>
          <w:trHeight w:val="252"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78</w:t>
            </w:r>
          </w:p>
        </w:tc>
        <w:tc>
          <w:tcPr>
            <w:tcW w:w="40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财政收支平衡就是指当年的财政收入等于财政支出</w:t>
            </w:r>
          </w:p>
        </w:tc>
        <w:tc>
          <w:tcPr>
            <w:tcW w:w="48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还包括收入小于支出，略有赤字；收入大于支出略有盈余</w:t>
            </w:r>
          </w:p>
        </w:tc>
      </w:tr>
      <w:tr>
        <w:tblPrEx>
          <w:tblCellMar>
            <w:top w:w="0" w:type="dxa"/>
            <w:left w:w="108" w:type="dxa"/>
            <w:bottom w:w="0" w:type="dxa"/>
            <w:right w:w="108" w:type="dxa"/>
          </w:tblCellMar>
        </w:tblPrEx>
        <w:trPr>
          <w:trHeight w:val="503"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79</w:t>
            </w:r>
          </w:p>
        </w:tc>
        <w:tc>
          <w:tcPr>
            <w:tcW w:w="40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出现财政赤字有弊无利</w:t>
            </w:r>
          </w:p>
        </w:tc>
        <w:tc>
          <w:tcPr>
            <w:tcW w:w="48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财政赤字对经济发展有弊还是有利，关键要看财政、信贷能否实现综合平衡</w:t>
            </w:r>
          </w:p>
        </w:tc>
      </w:tr>
      <w:tr>
        <w:tblPrEx>
          <w:tblCellMar>
            <w:top w:w="0" w:type="dxa"/>
            <w:left w:w="108" w:type="dxa"/>
            <w:bottom w:w="0" w:type="dxa"/>
            <w:right w:w="108" w:type="dxa"/>
          </w:tblCellMar>
        </w:tblPrEx>
        <w:trPr>
          <w:trHeight w:val="252"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80</w:t>
            </w:r>
          </w:p>
        </w:tc>
        <w:tc>
          <w:tcPr>
            <w:tcW w:w="40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经济发展水平和分配政策对财政收入的影响是基础性的</w:t>
            </w:r>
          </w:p>
        </w:tc>
        <w:tc>
          <w:tcPr>
            <w:tcW w:w="48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经济发展水平对财政收入的影响是基础性的</w:t>
            </w:r>
          </w:p>
        </w:tc>
      </w:tr>
      <w:tr>
        <w:tblPrEx>
          <w:tblCellMar>
            <w:top w:w="0" w:type="dxa"/>
            <w:left w:w="108" w:type="dxa"/>
            <w:bottom w:w="0" w:type="dxa"/>
            <w:right w:w="108" w:type="dxa"/>
          </w:tblCellMar>
        </w:tblPrEx>
        <w:trPr>
          <w:trHeight w:val="755"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81</w:t>
            </w:r>
          </w:p>
        </w:tc>
        <w:tc>
          <w:tcPr>
            <w:tcW w:w="40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财政收入越多越好</w:t>
            </w:r>
          </w:p>
        </w:tc>
        <w:tc>
          <w:tcPr>
            <w:tcW w:w="48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随着经济总量和社会总财富增加，财政收入越多，则国家经济建设支出越多，有利增强国家的宏观调控能力，使国民经济快速发展。但在经济总量一定的前提下，并非越多越好</w:t>
            </w:r>
          </w:p>
        </w:tc>
      </w:tr>
      <w:tr>
        <w:tblPrEx>
          <w:tblCellMar>
            <w:top w:w="0" w:type="dxa"/>
            <w:left w:w="108" w:type="dxa"/>
            <w:bottom w:w="0" w:type="dxa"/>
            <w:right w:w="108" w:type="dxa"/>
          </w:tblCellMar>
        </w:tblPrEx>
        <w:trPr>
          <w:trHeight w:val="503"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82</w:t>
            </w:r>
          </w:p>
        </w:tc>
        <w:tc>
          <w:tcPr>
            <w:tcW w:w="40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税收区别于其它财政收入形式的主要标志是税收的强制性、无偿性、固定性</w:t>
            </w:r>
          </w:p>
        </w:tc>
        <w:tc>
          <w:tcPr>
            <w:tcW w:w="48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w:t>
            </w:r>
          </w:p>
        </w:tc>
      </w:tr>
      <w:tr>
        <w:tblPrEx>
          <w:tblCellMar>
            <w:top w:w="0" w:type="dxa"/>
            <w:left w:w="108" w:type="dxa"/>
            <w:bottom w:w="0" w:type="dxa"/>
            <w:right w:w="108" w:type="dxa"/>
          </w:tblCellMar>
        </w:tblPrEx>
        <w:trPr>
          <w:trHeight w:val="503"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83</w:t>
            </w:r>
          </w:p>
        </w:tc>
        <w:tc>
          <w:tcPr>
            <w:tcW w:w="40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国家对遭受“非典”疫情影响严重的行业实行税收优惠政策违反了税收的固定性</w:t>
            </w:r>
          </w:p>
        </w:tc>
        <w:tc>
          <w:tcPr>
            <w:tcW w:w="48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没有，税收的固定性并不意味着一成不变，经过国家有关部门批准可以更改</w:t>
            </w:r>
          </w:p>
        </w:tc>
      </w:tr>
      <w:tr>
        <w:tblPrEx>
          <w:tblCellMar>
            <w:top w:w="0" w:type="dxa"/>
            <w:left w:w="108" w:type="dxa"/>
            <w:bottom w:w="0" w:type="dxa"/>
            <w:right w:w="108" w:type="dxa"/>
          </w:tblCellMar>
        </w:tblPrEx>
        <w:trPr>
          <w:trHeight w:val="503"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84</w:t>
            </w:r>
          </w:p>
        </w:tc>
        <w:tc>
          <w:tcPr>
            <w:tcW w:w="40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个人所得税是国家财政收入的重要来源，也是调节个人收入分配，实现社会公平的有效手段</w:t>
            </w:r>
          </w:p>
        </w:tc>
        <w:tc>
          <w:tcPr>
            <w:tcW w:w="48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w:t>
            </w:r>
          </w:p>
        </w:tc>
      </w:tr>
      <w:tr>
        <w:tblPrEx>
          <w:tblCellMar>
            <w:top w:w="0" w:type="dxa"/>
            <w:left w:w="108" w:type="dxa"/>
            <w:bottom w:w="0" w:type="dxa"/>
            <w:right w:w="108" w:type="dxa"/>
          </w:tblCellMar>
        </w:tblPrEx>
        <w:trPr>
          <w:trHeight w:val="252"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85</w:t>
            </w:r>
          </w:p>
        </w:tc>
        <w:tc>
          <w:tcPr>
            <w:tcW w:w="40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违反税法的行为都要受到刑法制裁</w:t>
            </w:r>
          </w:p>
        </w:tc>
        <w:tc>
          <w:tcPr>
            <w:tcW w:w="48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触犯刑法的行为都要受到刑法制裁</w:t>
            </w:r>
          </w:p>
        </w:tc>
      </w:tr>
      <w:tr>
        <w:tblPrEx>
          <w:tblCellMar>
            <w:top w:w="0" w:type="dxa"/>
            <w:left w:w="108" w:type="dxa"/>
            <w:bottom w:w="0" w:type="dxa"/>
            <w:right w:w="108" w:type="dxa"/>
          </w:tblCellMar>
        </w:tblPrEx>
        <w:trPr>
          <w:trHeight w:val="503"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86</w:t>
            </w:r>
          </w:p>
        </w:tc>
        <w:tc>
          <w:tcPr>
            <w:tcW w:w="40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骗取国家税收优惠和税收减免的行为是骗税，用欺骗、隐瞒等方式不缴或少缴税的行为是偷税</w:t>
            </w:r>
          </w:p>
        </w:tc>
        <w:tc>
          <w:tcPr>
            <w:tcW w:w="48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w:t>
            </w:r>
          </w:p>
        </w:tc>
      </w:tr>
      <w:tr>
        <w:tblPrEx>
          <w:tblCellMar>
            <w:top w:w="0" w:type="dxa"/>
            <w:left w:w="108" w:type="dxa"/>
            <w:bottom w:w="0" w:type="dxa"/>
            <w:right w:w="108" w:type="dxa"/>
          </w:tblCellMar>
        </w:tblPrEx>
        <w:trPr>
          <w:trHeight w:val="503"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87</w:t>
            </w:r>
          </w:p>
        </w:tc>
        <w:tc>
          <w:tcPr>
            <w:tcW w:w="40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不同性质国家的税收，其分配主体都是国家，税款都是取之于民，用之于民</w:t>
            </w:r>
          </w:p>
        </w:tc>
        <w:tc>
          <w:tcPr>
            <w:tcW w:w="48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社会主义税收取之于民，用之于民</w:t>
            </w:r>
          </w:p>
        </w:tc>
      </w:tr>
      <w:tr>
        <w:tblPrEx>
          <w:tblCellMar>
            <w:top w:w="0" w:type="dxa"/>
            <w:left w:w="108" w:type="dxa"/>
            <w:bottom w:w="0" w:type="dxa"/>
            <w:right w:w="108" w:type="dxa"/>
          </w:tblCellMar>
        </w:tblPrEx>
        <w:trPr>
          <w:trHeight w:val="503"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88</w:t>
            </w:r>
          </w:p>
        </w:tc>
        <w:tc>
          <w:tcPr>
            <w:tcW w:w="40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在我国，每个公民都是直接纳税人，人人都应该具有“纳税人”意识</w:t>
            </w:r>
          </w:p>
        </w:tc>
        <w:tc>
          <w:tcPr>
            <w:tcW w:w="48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不一定每个公民都是直接纳税人</w:t>
            </w:r>
          </w:p>
        </w:tc>
      </w:tr>
      <w:tr>
        <w:tblPrEx>
          <w:tblCellMar>
            <w:top w:w="0" w:type="dxa"/>
            <w:left w:w="108" w:type="dxa"/>
            <w:bottom w:w="0" w:type="dxa"/>
            <w:right w:w="108" w:type="dxa"/>
          </w:tblCellMar>
        </w:tblPrEx>
        <w:trPr>
          <w:trHeight w:val="503"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89</w:t>
            </w:r>
          </w:p>
        </w:tc>
        <w:tc>
          <w:tcPr>
            <w:tcW w:w="40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社会主义市场经济要充分发挥宏观调控(财政、税收)在资源配置中的基础性作用</w:t>
            </w:r>
          </w:p>
        </w:tc>
        <w:tc>
          <w:tcPr>
            <w:tcW w:w="48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市场经济中市场在资源配置中起基础作用</w:t>
            </w:r>
          </w:p>
        </w:tc>
      </w:tr>
      <w:tr>
        <w:tblPrEx>
          <w:tblCellMar>
            <w:top w:w="0" w:type="dxa"/>
            <w:left w:w="108" w:type="dxa"/>
            <w:bottom w:w="0" w:type="dxa"/>
            <w:right w:w="108" w:type="dxa"/>
          </w:tblCellMar>
        </w:tblPrEx>
        <w:trPr>
          <w:trHeight w:val="503"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90</w:t>
            </w:r>
          </w:p>
        </w:tc>
        <w:tc>
          <w:tcPr>
            <w:tcW w:w="40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在市场经济条件下，应该以经济手段和行政手段为主，辅之以必要的法律手段，发挥宏观调控的总体功能</w:t>
            </w:r>
          </w:p>
        </w:tc>
        <w:tc>
          <w:tcPr>
            <w:tcW w:w="48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以经济手段和法律手段为主，辅之以必要的行政手段</w:t>
            </w:r>
          </w:p>
        </w:tc>
      </w:tr>
      <w:tr>
        <w:tblPrEx>
          <w:tblCellMar>
            <w:top w:w="0" w:type="dxa"/>
            <w:left w:w="108" w:type="dxa"/>
            <w:bottom w:w="0" w:type="dxa"/>
            <w:right w:w="108" w:type="dxa"/>
          </w:tblCellMar>
        </w:tblPrEx>
        <w:trPr>
          <w:trHeight w:val="503"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91</w:t>
            </w:r>
          </w:p>
        </w:tc>
        <w:tc>
          <w:tcPr>
            <w:tcW w:w="40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宏观调控是社会主义市场经济所特有的，是其基本特征</w:t>
            </w:r>
          </w:p>
        </w:tc>
        <w:tc>
          <w:tcPr>
            <w:tcW w:w="48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资本主义和社会主义市场经济都有宏观调控，不同点在于社会主义下的宏观调控的效果、程度更佳、更强</w:t>
            </w:r>
          </w:p>
        </w:tc>
      </w:tr>
      <w:tr>
        <w:tblPrEx>
          <w:tblCellMar>
            <w:top w:w="0" w:type="dxa"/>
            <w:left w:w="108" w:type="dxa"/>
            <w:bottom w:w="0" w:type="dxa"/>
            <w:right w:w="108" w:type="dxa"/>
          </w:tblCellMar>
        </w:tblPrEx>
        <w:trPr>
          <w:trHeight w:val="252"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92</w:t>
            </w:r>
          </w:p>
        </w:tc>
        <w:tc>
          <w:tcPr>
            <w:tcW w:w="40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坚持公有制的主体地位是发展社会主义市场经济的根本目标</w:t>
            </w:r>
          </w:p>
        </w:tc>
        <w:tc>
          <w:tcPr>
            <w:tcW w:w="48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是基本标志，根本目标是坚持共同富裕</w:t>
            </w:r>
          </w:p>
        </w:tc>
      </w:tr>
      <w:tr>
        <w:tblPrEx>
          <w:tblCellMar>
            <w:top w:w="0" w:type="dxa"/>
            <w:left w:w="108" w:type="dxa"/>
            <w:bottom w:w="0" w:type="dxa"/>
            <w:right w:w="108" w:type="dxa"/>
          </w:tblCellMar>
        </w:tblPrEx>
        <w:trPr>
          <w:trHeight w:val="252"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93</w:t>
            </w:r>
          </w:p>
        </w:tc>
        <w:tc>
          <w:tcPr>
            <w:tcW w:w="40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宏观调控最主要的任务和目标是增加就业</w:t>
            </w:r>
          </w:p>
        </w:tc>
        <w:tc>
          <w:tcPr>
            <w:tcW w:w="48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促进经济增长是最主要的任务和目标</w:t>
            </w:r>
          </w:p>
        </w:tc>
      </w:tr>
      <w:tr>
        <w:tblPrEx>
          <w:tblCellMar>
            <w:top w:w="0" w:type="dxa"/>
            <w:left w:w="108" w:type="dxa"/>
            <w:bottom w:w="0" w:type="dxa"/>
            <w:right w:w="108" w:type="dxa"/>
          </w:tblCellMar>
        </w:tblPrEx>
        <w:trPr>
          <w:trHeight w:val="503"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94</w:t>
            </w:r>
          </w:p>
        </w:tc>
        <w:tc>
          <w:tcPr>
            <w:tcW w:w="40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为应对金融危机，我国下调存贷款利率，是实施适度宽松的财政政策，促进投资与消费</w:t>
            </w:r>
          </w:p>
        </w:tc>
        <w:tc>
          <w:tcPr>
            <w:tcW w:w="48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货币政策</w:t>
            </w:r>
          </w:p>
        </w:tc>
      </w:tr>
      <w:tr>
        <w:tblPrEx>
          <w:tblCellMar>
            <w:top w:w="0" w:type="dxa"/>
            <w:left w:w="108" w:type="dxa"/>
            <w:bottom w:w="0" w:type="dxa"/>
            <w:right w:w="108" w:type="dxa"/>
          </w:tblCellMar>
        </w:tblPrEx>
        <w:trPr>
          <w:trHeight w:val="503"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95</w:t>
            </w:r>
          </w:p>
        </w:tc>
        <w:tc>
          <w:tcPr>
            <w:tcW w:w="40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必须鼓励一部分地区和个人先富起来，通过先富带动后富，最终达到共同富裕，同步富裕</w:t>
            </w:r>
          </w:p>
        </w:tc>
        <w:tc>
          <w:tcPr>
            <w:tcW w:w="48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不可能同步富裕</w:t>
            </w:r>
          </w:p>
        </w:tc>
      </w:tr>
      <w:tr>
        <w:tblPrEx>
          <w:tblCellMar>
            <w:top w:w="0" w:type="dxa"/>
            <w:left w:w="108" w:type="dxa"/>
            <w:bottom w:w="0" w:type="dxa"/>
            <w:right w:w="108" w:type="dxa"/>
          </w:tblCellMar>
        </w:tblPrEx>
        <w:trPr>
          <w:trHeight w:val="755"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96</w:t>
            </w:r>
          </w:p>
        </w:tc>
        <w:tc>
          <w:tcPr>
            <w:tcW w:w="40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生产力与生产关系，经济基础与上层建筑的矛盾是我国现阶段的主要矛盾</w:t>
            </w:r>
          </w:p>
        </w:tc>
        <w:tc>
          <w:tcPr>
            <w:tcW w:w="48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生产力与生产关系，经济基础与上层建筑的矛盾是贯穿人类社会始终的基本矛盾，我国社会主要矛盾已经转化为人民日益增长的美好生活需要和不平衡不充分的发展之间的矛盾</w:t>
            </w:r>
          </w:p>
        </w:tc>
      </w:tr>
      <w:tr>
        <w:tblPrEx>
          <w:tblCellMar>
            <w:top w:w="0" w:type="dxa"/>
            <w:left w:w="108" w:type="dxa"/>
            <w:bottom w:w="0" w:type="dxa"/>
            <w:right w:w="108" w:type="dxa"/>
          </w:tblCellMar>
        </w:tblPrEx>
        <w:trPr>
          <w:trHeight w:val="252"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97</w:t>
            </w:r>
          </w:p>
        </w:tc>
        <w:tc>
          <w:tcPr>
            <w:tcW w:w="40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经济全球化是主要通过生产的全球化来实现的</w:t>
            </w:r>
          </w:p>
        </w:tc>
        <w:tc>
          <w:tcPr>
            <w:tcW w:w="48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通过跨国公司来实现的</w:t>
            </w:r>
          </w:p>
        </w:tc>
      </w:tr>
      <w:tr>
        <w:tblPrEx>
          <w:tblCellMar>
            <w:top w:w="0" w:type="dxa"/>
            <w:left w:w="108" w:type="dxa"/>
            <w:bottom w:w="0" w:type="dxa"/>
            <w:right w:w="108" w:type="dxa"/>
          </w:tblCellMar>
        </w:tblPrEx>
        <w:trPr>
          <w:trHeight w:val="1509"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98</w:t>
            </w:r>
          </w:p>
        </w:tc>
        <w:tc>
          <w:tcPr>
            <w:tcW w:w="40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跨国公司进入中国不利于民族工业的发展</w:t>
            </w:r>
          </w:p>
        </w:tc>
        <w:tc>
          <w:tcPr>
            <w:tcW w:w="48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跨国公司进入中国，既是挑战，又是机遇。跨国公司在资金、技术、人才、管理、市场开拓、资源配置等方面具有明显的优势，这就给中国民族工业造成了巨大的竞争压力。跨国公司的进入同时也为民族工业的发展提供了机遇，通过竞争与合作，我们可以学习到先进的生产技术和现代化的管理经验，进而提高企业的竞争能力，达到扩大市场份额的目的</w:t>
            </w:r>
          </w:p>
        </w:tc>
      </w:tr>
      <w:tr>
        <w:tblPrEx>
          <w:tblCellMar>
            <w:top w:w="0" w:type="dxa"/>
            <w:left w:w="108" w:type="dxa"/>
            <w:bottom w:w="0" w:type="dxa"/>
            <w:right w:w="108" w:type="dxa"/>
          </w:tblCellMar>
        </w:tblPrEx>
        <w:trPr>
          <w:trHeight w:val="503"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99</w:t>
            </w:r>
          </w:p>
        </w:tc>
        <w:tc>
          <w:tcPr>
            <w:tcW w:w="40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在社会主义现代化经济建设过程中，必须把对外开放作为自己发展的根本基点和基本战略</w:t>
            </w:r>
          </w:p>
        </w:tc>
        <w:tc>
          <w:tcPr>
            <w:tcW w:w="48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我国发展对外经济关系的基本国策是对外开放、基本战略是引进来与走出去相结合、基本原则(根本基点)是独立自主、自力更生</w:t>
            </w:r>
          </w:p>
        </w:tc>
      </w:tr>
      <w:tr>
        <w:tblPrEx>
          <w:tblCellMar>
            <w:top w:w="0" w:type="dxa"/>
            <w:left w:w="108" w:type="dxa"/>
            <w:bottom w:w="0" w:type="dxa"/>
            <w:right w:w="108" w:type="dxa"/>
          </w:tblCellMar>
        </w:tblPrEx>
        <w:trPr>
          <w:trHeight w:val="252" w:hRule="atLeast"/>
        </w:trPr>
        <w:tc>
          <w:tcPr>
            <w:tcW w:w="637"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kern w:val="0"/>
                <w:szCs w:val="21"/>
              </w:rPr>
            </w:pPr>
            <w:r>
              <w:rPr>
                <w:kern w:val="0"/>
                <w:szCs w:val="21"/>
              </w:rPr>
              <w:t>100</w:t>
            </w:r>
          </w:p>
        </w:tc>
        <w:tc>
          <w:tcPr>
            <w:tcW w:w="40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世界贸易组织的最基本原则是最惠国待遇原则</w:t>
            </w:r>
          </w:p>
        </w:tc>
        <w:tc>
          <w:tcPr>
            <w:tcW w:w="4834" w:type="dxa"/>
            <w:tcBorders>
              <w:top w:val="nil"/>
              <w:left w:val="nil"/>
              <w:bottom w:val="single" w:color="auto" w:sz="4" w:space="0"/>
              <w:right w:val="single" w:color="auto" w:sz="4" w:space="0"/>
            </w:tcBorders>
            <w:shd w:val="clear" w:color="auto" w:fill="auto"/>
            <w:vAlign w:val="center"/>
          </w:tcPr>
          <w:p>
            <w:pPr>
              <w:widowControl/>
              <w:spacing w:line="360" w:lineRule="auto"/>
              <w:jc w:val="left"/>
              <w:rPr>
                <w:kern w:val="0"/>
                <w:szCs w:val="21"/>
              </w:rPr>
            </w:pPr>
            <w:r>
              <w:rPr>
                <w:kern w:val="0"/>
                <w:szCs w:val="21"/>
              </w:rPr>
              <w:t>最重要的原则是非歧视原则，包括最惠国待遇原则与国民待遇原则</w:t>
            </w:r>
          </w:p>
        </w:tc>
      </w:tr>
    </w:tbl>
    <w:p>
      <w:pPr>
        <w:jc w:val="center"/>
        <w:rPr>
          <w:rFonts w:ascii="宋体" w:hAnsi="宋体" w:cs="宋体"/>
          <w:b/>
          <w:bCs/>
          <w:color w:val="FF0000"/>
          <w:sz w:val="28"/>
          <w:szCs w:val="28"/>
        </w:rPr>
      </w:pPr>
      <w:r>
        <w:rPr>
          <w:rFonts w:hint="eastAsia" w:ascii="宋体" w:hAnsi="宋体" w:cs="宋体"/>
          <w:b/>
          <w:bCs/>
          <w:color w:val="FF0000"/>
          <w:sz w:val="28"/>
          <w:szCs w:val="28"/>
        </w:rPr>
        <w:t>扫码查看全套备考资源</w:t>
      </w:r>
    </w:p>
    <w:p>
      <w:pPr>
        <w:spacing w:line="360" w:lineRule="auto"/>
        <w:ind w:firstLine="435"/>
        <w:jc w:val="center"/>
        <w:rPr>
          <w:color w:val="FF0000"/>
        </w:rPr>
      </w:pPr>
      <w:r>
        <w:drawing>
          <wp:inline distT="0" distB="0" distL="0" distR="0">
            <wp:extent cx="2571750" cy="16129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586008" cy="1622431"/>
                    </a:xfrm>
                    <a:prstGeom prst="rect">
                      <a:avLst/>
                    </a:prstGeom>
                  </pic:spPr>
                </pic:pic>
              </a:graphicData>
            </a:graphic>
          </wp:inline>
        </w:drawing>
      </w:r>
    </w:p>
    <w:sectPr>
      <w:footerReference r:id="rId3"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rPr>
        <w:color w:val="000000"/>
        <w:szCs w:val="21"/>
      </w:rPr>
    </w:pPr>
    <w:r>
      <w:drawing>
        <wp:inline distT="0" distB="0" distL="0" distR="0">
          <wp:extent cx="276225" cy="323850"/>
          <wp:effectExtent l="0" t="0" r="9525" b="0"/>
          <wp:docPr id="2" name="图片 2" descr="学科网LOGO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LOGO源文件"/>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276225" cy="323850"/>
                  </a:xfrm>
                  <a:prstGeom prst="rect">
                    <a:avLst/>
                  </a:prstGeom>
                  <a:noFill/>
                  <a:ln>
                    <a:noFill/>
                  </a:ln>
                </pic:spPr>
              </pic:pic>
            </a:graphicData>
          </a:graphic>
        </wp:inline>
      </w:drawing>
    </w: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7785" cy="149225"/>
              <wp:effectExtent l="0" t="0" r="1905" b="317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1.75pt;width:4.55pt;mso-position-horizontal:right;mso-position-horizontal-relative:margin;mso-wrap-style:none;z-index:251658240;mso-width-relative:page;mso-height-relative:page;" filled="f" stroked="f" coordsize="21600,21600" o:gfxdata="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uXSKN0QAAAAIBAAAP&#10;AAAAAAAAAAEAIAAAACIAAABkcnMvZG93bnJldi54bWxQSwECFAAUAAAACACHTuJAf00K3eYBAACm&#10;AwAADgAAAAAAAAABACAAAAAgAQAAZHJzL2Uyb0RvYy54bWxQSwUGAAAAAAYABgBZAQAAeAU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mc:Fallback>
      </mc:AlternateContent>
    </w:r>
    <w:r>
      <w:rPr>
        <w:rFonts w:hint="eastAsia"/>
      </w:rPr>
      <w:t>原创精品资源学科网独家享有版权，侵权必究</w:t>
    </w:r>
    <w:r>
      <w:rPr>
        <w:rFonts w:hint="eastAsia"/>
        <w:color w:val="000000"/>
        <w:szCs w:val="21"/>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231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1360E"/>
    <w:rsid w:val="00015FE7"/>
    <w:rsid w:val="0002451F"/>
    <w:rsid w:val="00041561"/>
    <w:rsid w:val="00051F46"/>
    <w:rsid w:val="000D38AA"/>
    <w:rsid w:val="000D7007"/>
    <w:rsid w:val="000E4A0D"/>
    <w:rsid w:val="000F5B9E"/>
    <w:rsid w:val="00146953"/>
    <w:rsid w:val="001E4F9D"/>
    <w:rsid w:val="0027067E"/>
    <w:rsid w:val="002771D2"/>
    <w:rsid w:val="002E5183"/>
    <w:rsid w:val="002E56FE"/>
    <w:rsid w:val="00363227"/>
    <w:rsid w:val="0040402F"/>
    <w:rsid w:val="004142EB"/>
    <w:rsid w:val="004714F7"/>
    <w:rsid w:val="0047331D"/>
    <w:rsid w:val="00486104"/>
    <w:rsid w:val="00487FB7"/>
    <w:rsid w:val="0056487D"/>
    <w:rsid w:val="00631146"/>
    <w:rsid w:val="006E406D"/>
    <w:rsid w:val="006F340A"/>
    <w:rsid w:val="007066DC"/>
    <w:rsid w:val="0078064B"/>
    <w:rsid w:val="0079204F"/>
    <w:rsid w:val="00796B41"/>
    <w:rsid w:val="008104C1"/>
    <w:rsid w:val="0085328A"/>
    <w:rsid w:val="009035F2"/>
    <w:rsid w:val="00913910"/>
    <w:rsid w:val="00945A4F"/>
    <w:rsid w:val="00956036"/>
    <w:rsid w:val="009B520A"/>
    <w:rsid w:val="009D6B7D"/>
    <w:rsid w:val="00AF1614"/>
    <w:rsid w:val="00B20302"/>
    <w:rsid w:val="00B205AE"/>
    <w:rsid w:val="00B44017"/>
    <w:rsid w:val="00B6434D"/>
    <w:rsid w:val="00BA63AD"/>
    <w:rsid w:val="00BF2005"/>
    <w:rsid w:val="00BF2518"/>
    <w:rsid w:val="00BF4AD7"/>
    <w:rsid w:val="00C2613D"/>
    <w:rsid w:val="00CA309C"/>
    <w:rsid w:val="00CF4216"/>
    <w:rsid w:val="00D57BC5"/>
    <w:rsid w:val="00D6266F"/>
    <w:rsid w:val="00DA037C"/>
    <w:rsid w:val="00DD0D58"/>
    <w:rsid w:val="00E53198"/>
    <w:rsid w:val="00FB0BA1"/>
    <w:rsid w:val="18994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rFonts w:asciiTheme="minorHAnsi" w:hAnsiTheme="minorHAnsi" w:eastAsiaTheme="minorEastAsia" w:cstheme="minorBidi"/>
      <w:sz w:val="18"/>
      <w:szCs w:val="18"/>
    </w:rPr>
  </w:style>
  <w:style w:type="paragraph" w:styleId="3">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uiPriority w:val="0"/>
    <w:pPr>
      <w:widowControl/>
      <w:spacing w:before="100" w:beforeAutospacing="1" w:after="100" w:afterAutospacing="1"/>
      <w:jc w:val="left"/>
    </w:pPr>
    <w:rPr>
      <w:rFonts w:ascii="宋体" w:hAnsi="宋体" w:cs="宋体"/>
      <w:kern w:val="0"/>
      <w:sz w:val="24"/>
      <w:szCs w:val="24"/>
    </w:rPr>
  </w:style>
  <w:style w:type="character" w:styleId="8">
    <w:name w:val="Hyperlink"/>
    <w:basedOn w:val="7"/>
    <w:semiHidden/>
    <w:unhideWhenUsed/>
    <w:uiPriority w:val="99"/>
    <w:rPr>
      <w:color w:val="0000FF"/>
      <w:u w:val="single"/>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462</Words>
  <Characters>2639</Characters>
  <Lines>21</Lines>
  <Paragraphs>6</Paragraphs>
  <TotalTime>197</TotalTime>
  <ScaleCrop>false</ScaleCrop>
  <LinksUpToDate>false</LinksUpToDate>
  <CharactersWithSpaces>3095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酸酸</cp:lastModifiedBy>
  <dcterms:modified xsi:type="dcterms:W3CDTF">2020-06-11T11:29:01Z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